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28FD" w14:textId="08A05462" w:rsidR="00DB6351" w:rsidRPr="00E121C7" w:rsidRDefault="00D768A6" w:rsidP="00340707">
      <w:pPr>
        <w:pStyle w:val="ListParagraph"/>
        <w:ind w:left="0"/>
      </w:pPr>
      <w:r w:rsidRPr="00E121C7">
        <w:t xml:space="preserve">Thank you for your interest in serving on the City of Newberg Planning Commission. This </w:t>
      </w:r>
      <w:r w:rsidR="00CC0DF6" w:rsidRPr="00E121C7">
        <w:t>is a summary of what the Commission does, the</w:t>
      </w:r>
      <w:r w:rsidR="00DB6351" w:rsidRPr="00E121C7">
        <w:t xml:space="preserve"> </w:t>
      </w:r>
      <w:r w:rsidR="00CC0DF6" w:rsidRPr="00E121C7">
        <w:t>appointment process, and what to expect if appointed.</w:t>
      </w:r>
      <w:r w:rsidR="00D17FED" w:rsidRPr="00E121C7">
        <w:t xml:space="preserve"> </w:t>
      </w:r>
    </w:p>
    <w:p w14:paraId="4E5B327F" w14:textId="77777777" w:rsidR="003C1180" w:rsidRPr="00E121C7" w:rsidRDefault="003C1180" w:rsidP="00340707">
      <w:pPr>
        <w:pStyle w:val="ListParagraph"/>
        <w:ind w:left="0"/>
        <w:rPr>
          <w:rFonts w:eastAsiaTheme="majorEastAsia"/>
          <w:color w:val="0A0A0A"/>
        </w:rPr>
      </w:pPr>
    </w:p>
    <w:p w14:paraId="7E9283EE" w14:textId="758465ED" w:rsidR="00AC00E7" w:rsidRDefault="00AC00E7" w:rsidP="00521C62">
      <w:pPr>
        <w:rPr>
          <w:b/>
          <w:bCs/>
          <w:u w:val="single"/>
        </w:rPr>
      </w:pPr>
      <w:r w:rsidRPr="00E121C7">
        <w:rPr>
          <w:b/>
          <w:bCs/>
          <w:u w:val="single"/>
        </w:rPr>
        <w:t>Planning Commission Roles</w:t>
      </w:r>
    </w:p>
    <w:p w14:paraId="5B838204" w14:textId="178EAC07" w:rsidR="00166B60" w:rsidRPr="00166B60" w:rsidRDefault="00166B60" w:rsidP="00521C62">
      <w:r>
        <w:t xml:space="preserve">The Planning Commission </w:t>
      </w:r>
      <w:r w:rsidR="004B495E">
        <w:t xml:space="preserve">roles, </w:t>
      </w:r>
      <w:r w:rsidR="00887327">
        <w:t xml:space="preserve">described </w:t>
      </w:r>
      <w:hyperlink r:id="rId7" w:anchor="!/Newberg02/Newberg0215.html" w:history="1">
        <w:r w:rsidR="005B6183" w:rsidRPr="005B6183">
          <w:rPr>
            <w:rStyle w:val="Hyperlink"/>
          </w:rPr>
          <w:t>Newberg Municipal Code, Chapter 2.15, Article IV</w:t>
        </w:r>
      </w:hyperlink>
      <w:r w:rsidR="005B6183">
        <w:t xml:space="preserve">, are summarized as follows: </w:t>
      </w:r>
    </w:p>
    <w:p w14:paraId="02CD036F" w14:textId="449C7FD7" w:rsidR="00AC00E7" w:rsidRPr="00E121C7" w:rsidRDefault="00B47F33" w:rsidP="006E0DA0">
      <w:pPr>
        <w:pStyle w:val="ListParagraph"/>
        <w:numPr>
          <w:ilvl w:val="0"/>
          <w:numId w:val="9"/>
        </w:numPr>
        <w:spacing w:after="120"/>
        <w:rPr>
          <w:b/>
          <w:bCs/>
        </w:rPr>
      </w:pPr>
      <w:r w:rsidRPr="00E121C7">
        <w:rPr>
          <w:b/>
          <w:bCs/>
        </w:rPr>
        <w:t>Advis</w:t>
      </w:r>
      <w:r w:rsidR="002F366E" w:rsidRPr="00E121C7">
        <w:rPr>
          <w:b/>
          <w:bCs/>
        </w:rPr>
        <w:t>e City Council</w:t>
      </w:r>
      <w:r w:rsidR="009518A9" w:rsidRPr="00E121C7">
        <w:rPr>
          <w:b/>
          <w:bCs/>
        </w:rPr>
        <w:t xml:space="preserve"> on Land Use Policy and Legislative </w:t>
      </w:r>
      <w:r w:rsidR="0058477F" w:rsidRPr="00E121C7">
        <w:rPr>
          <w:b/>
          <w:bCs/>
        </w:rPr>
        <w:t xml:space="preserve">Land Use </w:t>
      </w:r>
      <w:r w:rsidR="009518A9" w:rsidRPr="00E121C7">
        <w:rPr>
          <w:b/>
          <w:bCs/>
        </w:rPr>
        <w:t>Applications</w:t>
      </w:r>
    </w:p>
    <w:p w14:paraId="63720490" w14:textId="22EDEDAE" w:rsidR="00424F61" w:rsidRPr="00E121C7" w:rsidRDefault="004E508D" w:rsidP="009B21B1">
      <w:pPr>
        <w:ind w:left="720"/>
      </w:pPr>
      <w:r w:rsidRPr="00E121C7">
        <w:t xml:space="preserve">The Planning Commission </w:t>
      </w:r>
      <w:r w:rsidR="00CB4796" w:rsidRPr="00E121C7">
        <w:t>conducts</w:t>
      </w:r>
      <w:r w:rsidR="00B52E81" w:rsidRPr="00E121C7">
        <w:t xml:space="preserve"> </w:t>
      </w:r>
      <w:r w:rsidR="0062037F" w:rsidRPr="00E121C7">
        <w:t>public hearings</w:t>
      </w:r>
      <w:r w:rsidR="006010E7" w:rsidRPr="00E121C7">
        <w:t xml:space="preserve"> on </w:t>
      </w:r>
      <w:r w:rsidR="005E1607">
        <w:t xml:space="preserve">proposed </w:t>
      </w:r>
      <w:r w:rsidR="002F366E" w:rsidRPr="00E121C7">
        <w:t xml:space="preserve">amendments to the </w:t>
      </w:r>
      <w:r w:rsidR="0068698D" w:rsidRPr="00E121C7">
        <w:t>Newberg</w:t>
      </w:r>
      <w:r w:rsidR="002F366E" w:rsidRPr="00E121C7">
        <w:t xml:space="preserve"> </w:t>
      </w:r>
      <w:r w:rsidR="0068698D" w:rsidRPr="00E121C7">
        <w:t>C</w:t>
      </w:r>
      <w:r w:rsidR="002F366E" w:rsidRPr="00E121C7">
        <w:t xml:space="preserve">omprehensive </w:t>
      </w:r>
      <w:r w:rsidR="0068698D" w:rsidRPr="00E121C7">
        <w:t>P</w:t>
      </w:r>
      <w:r w:rsidR="002F366E" w:rsidRPr="00E121C7">
        <w:t xml:space="preserve">lan, </w:t>
      </w:r>
      <w:r w:rsidR="0068698D" w:rsidRPr="00E121C7">
        <w:t>Zoning Map</w:t>
      </w:r>
      <w:r w:rsidR="002F366E" w:rsidRPr="00E121C7">
        <w:t>,</w:t>
      </w:r>
      <w:r w:rsidR="0068698D" w:rsidRPr="00E121C7">
        <w:t xml:space="preserve"> and</w:t>
      </w:r>
      <w:r w:rsidR="002F366E" w:rsidRPr="00E121C7">
        <w:t xml:space="preserve"> </w:t>
      </w:r>
      <w:r w:rsidR="0068698D" w:rsidRPr="00E121C7">
        <w:t>Development Code</w:t>
      </w:r>
      <w:r w:rsidR="008B2A4E" w:rsidRPr="00E121C7">
        <w:t xml:space="preserve">, and </w:t>
      </w:r>
      <w:r w:rsidR="00DB6351" w:rsidRPr="00E121C7">
        <w:t xml:space="preserve">property owner requests </w:t>
      </w:r>
      <w:r w:rsidR="00D45C6B">
        <w:t>for</w:t>
      </w:r>
      <w:r w:rsidR="009B21B1" w:rsidRPr="00E121C7">
        <w:t xml:space="preserve"> annex</w:t>
      </w:r>
      <w:r w:rsidR="00D45C6B">
        <w:t>ation</w:t>
      </w:r>
      <w:r w:rsidR="00B47F33" w:rsidRPr="00E121C7">
        <w:t>.</w:t>
      </w:r>
      <w:r w:rsidR="009B21B1" w:rsidRPr="00E121C7">
        <w:t xml:space="preserve"> </w:t>
      </w:r>
      <w:r w:rsidR="00CB4796" w:rsidRPr="00E121C7">
        <w:t xml:space="preserve">The Commission’s role </w:t>
      </w:r>
      <w:r w:rsidR="00D45C6B">
        <w:t xml:space="preserve">on legislative requests </w:t>
      </w:r>
      <w:r w:rsidR="00CB4796" w:rsidRPr="00E121C7">
        <w:t>is</w:t>
      </w:r>
      <w:r w:rsidR="00521C62" w:rsidRPr="00E121C7">
        <w:t xml:space="preserve"> </w:t>
      </w:r>
      <w:r w:rsidR="00CB4796" w:rsidRPr="00E121C7">
        <w:t>advisory</w:t>
      </w:r>
      <w:r w:rsidR="00521C62" w:rsidRPr="00E121C7">
        <w:t xml:space="preserve"> as </w:t>
      </w:r>
      <w:r w:rsidR="009B21B1" w:rsidRPr="00E121C7">
        <w:t>the City Council is the final decision maker.</w:t>
      </w:r>
      <w:r w:rsidR="00EE53CE" w:rsidRPr="00E121C7">
        <w:t xml:space="preserve"> </w:t>
      </w:r>
    </w:p>
    <w:p w14:paraId="5EA734EF" w14:textId="27BB0441" w:rsidR="005E148D" w:rsidRPr="00E121C7" w:rsidRDefault="00424F61" w:rsidP="006E0DA0">
      <w:pPr>
        <w:pStyle w:val="ListParagraph"/>
        <w:numPr>
          <w:ilvl w:val="0"/>
          <w:numId w:val="9"/>
        </w:numPr>
        <w:spacing w:after="120"/>
        <w:rPr>
          <w:rStyle w:val="t286pc"/>
          <w:rFonts w:eastAsia="Times New Roman"/>
          <w:b/>
          <w:bCs/>
          <w:color w:val="0A0A0A"/>
        </w:rPr>
      </w:pPr>
      <w:r w:rsidRPr="00E121C7">
        <w:rPr>
          <w:rStyle w:val="t286pc"/>
          <w:rFonts w:eastAsiaTheme="majorEastAsia"/>
          <w:b/>
          <w:bCs/>
          <w:color w:val="0A0A0A"/>
        </w:rPr>
        <w:t xml:space="preserve">Review </w:t>
      </w:r>
      <w:r w:rsidR="00917C7B" w:rsidRPr="00E121C7">
        <w:rPr>
          <w:rStyle w:val="t286pc"/>
          <w:rFonts w:eastAsiaTheme="majorEastAsia"/>
          <w:b/>
          <w:bCs/>
          <w:color w:val="0A0A0A"/>
        </w:rPr>
        <w:t>and make</w:t>
      </w:r>
      <w:r w:rsidR="001075AB" w:rsidRPr="00E121C7">
        <w:rPr>
          <w:rStyle w:val="t286pc"/>
          <w:rFonts w:eastAsiaTheme="majorEastAsia"/>
          <w:b/>
          <w:bCs/>
          <w:color w:val="0A0A0A"/>
        </w:rPr>
        <w:t xml:space="preserve"> </w:t>
      </w:r>
      <w:r w:rsidR="00917C7B" w:rsidRPr="00E121C7">
        <w:rPr>
          <w:rStyle w:val="t286pc"/>
          <w:rFonts w:eastAsiaTheme="majorEastAsia"/>
          <w:b/>
          <w:bCs/>
          <w:color w:val="0A0A0A"/>
        </w:rPr>
        <w:t xml:space="preserve">decisions on </w:t>
      </w:r>
      <w:r w:rsidR="000E442C" w:rsidRPr="00E121C7">
        <w:rPr>
          <w:rStyle w:val="t286pc"/>
          <w:rFonts w:eastAsiaTheme="majorEastAsia"/>
          <w:b/>
          <w:bCs/>
          <w:color w:val="0A0A0A"/>
        </w:rPr>
        <w:t xml:space="preserve">Quasi-Judicial </w:t>
      </w:r>
      <w:r w:rsidR="00B52E81" w:rsidRPr="00E121C7">
        <w:rPr>
          <w:rStyle w:val="t286pc"/>
          <w:rFonts w:eastAsiaTheme="majorEastAsia"/>
          <w:b/>
          <w:bCs/>
          <w:color w:val="0A0A0A"/>
        </w:rPr>
        <w:t>Land Use Applications</w:t>
      </w:r>
    </w:p>
    <w:p w14:paraId="65BBE7E6" w14:textId="3E1CEEF6" w:rsidR="00F01613" w:rsidRPr="00E121C7" w:rsidRDefault="00CB4796" w:rsidP="009A62D7">
      <w:pPr>
        <w:ind w:left="720"/>
        <w:rPr>
          <w:rStyle w:val="t286pc"/>
          <w:rFonts w:eastAsiaTheme="majorEastAsia"/>
          <w:color w:val="0A0A0A"/>
        </w:rPr>
      </w:pPr>
      <w:r w:rsidRPr="00E121C7">
        <w:rPr>
          <w:rStyle w:val="t286pc"/>
          <w:rFonts w:eastAsiaTheme="majorEastAsia"/>
          <w:color w:val="0A0A0A"/>
        </w:rPr>
        <w:t>The Planning</w:t>
      </w:r>
      <w:r w:rsidR="00727482" w:rsidRPr="00E121C7">
        <w:rPr>
          <w:rStyle w:val="t286pc"/>
          <w:rFonts w:eastAsiaTheme="majorEastAsia"/>
          <w:color w:val="0A0A0A"/>
        </w:rPr>
        <w:t xml:space="preserve"> </w:t>
      </w:r>
      <w:r w:rsidR="00394293" w:rsidRPr="00E121C7">
        <w:rPr>
          <w:rStyle w:val="t286pc"/>
          <w:rFonts w:eastAsiaTheme="majorEastAsia"/>
          <w:color w:val="0A0A0A"/>
        </w:rPr>
        <w:t>Commission</w:t>
      </w:r>
      <w:r w:rsidRPr="00E121C7">
        <w:rPr>
          <w:rStyle w:val="t286pc"/>
          <w:rFonts w:eastAsiaTheme="majorEastAsia"/>
          <w:color w:val="0A0A0A"/>
        </w:rPr>
        <w:t xml:space="preserve"> </w:t>
      </w:r>
      <w:r w:rsidR="00D45C6B">
        <w:rPr>
          <w:rStyle w:val="t286pc"/>
          <w:rFonts w:eastAsiaTheme="majorEastAsia"/>
          <w:color w:val="0A0A0A"/>
        </w:rPr>
        <w:t>reviews some applications for land use permits</w:t>
      </w:r>
      <w:r w:rsidR="00DB0BD4">
        <w:rPr>
          <w:rStyle w:val="t286pc"/>
          <w:rFonts w:eastAsiaTheme="majorEastAsia"/>
          <w:color w:val="0A0A0A"/>
        </w:rPr>
        <w:t xml:space="preserve"> as a “q</w:t>
      </w:r>
      <w:r w:rsidRPr="00E121C7">
        <w:rPr>
          <w:rStyle w:val="t286pc"/>
          <w:rFonts w:eastAsiaTheme="majorEastAsia"/>
          <w:color w:val="0A0A0A"/>
        </w:rPr>
        <w:t>uasi-Judicial</w:t>
      </w:r>
      <w:r w:rsidR="00DB0BD4">
        <w:rPr>
          <w:rStyle w:val="t286pc"/>
          <w:rFonts w:eastAsiaTheme="majorEastAsia"/>
          <w:color w:val="0A0A0A"/>
        </w:rPr>
        <w:t>”</w:t>
      </w:r>
      <w:r w:rsidRPr="00E121C7">
        <w:rPr>
          <w:rStyle w:val="t286pc"/>
          <w:rFonts w:eastAsiaTheme="majorEastAsia"/>
          <w:color w:val="0A0A0A"/>
        </w:rPr>
        <w:t xml:space="preserve"> </w:t>
      </w:r>
      <w:r w:rsidR="0016721C" w:rsidRPr="00E121C7">
        <w:rPr>
          <w:rStyle w:val="t286pc"/>
          <w:rFonts w:eastAsiaTheme="majorEastAsia"/>
          <w:color w:val="0A0A0A"/>
        </w:rPr>
        <w:t>decision-making</w:t>
      </w:r>
      <w:r w:rsidRPr="00E121C7">
        <w:rPr>
          <w:rStyle w:val="t286pc"/>
          <w:rFonts w:eastAsiaTheme="majorEastAsia"/>
          <w:color w:val="0A0A0A"/>
        </w:rPr>
        <w:t xml:space="preserve"> </w:t>
      </w:r>
      <w:r w:rsidR="00DB0BD4">
        <w:rPr>
          <w:rStyle w:val="t286pc"/>
          <w:rFonts w:eastAsiaTheme="majorEastAsia"/>
          <w:color w:val="0A0A0A"/>
        </w:rPr>
        <w:t>body</w:t>
      </w:r>
      <w:r w:rsidR="00A057C4">
        <w:rPr>
          <w:rStyle w:val="t286pc"/>
          <w:rFonts w:eastAsiaTheme="majorEastAsia"/>
          <w:color w:val="0A0A0A"/>
        </w:rPr>
        <w:t xml:space="preserve"> where the commission essentially serves as a panel of judges. </w:t>
      </w:r>
      <w:r w:rsidR="002A7FF7" w:rsidRPr="00E121C7">
        <w:t>Th</w:t>
      </w:r>
      <w:r w:rsidR="00A057C4">
        <w:t>is</w:t>
      </w:r>
      <w:r w:rsidR="002A7FF7" w:rsidRPr="00E121C7">
        <w:t xml:space="preserve"> include</w:t>
      </w:r>
      <w:r w:rsidR="00A057C4">
        <w:t>s reviewing</w:t>
      </w:r>
      <w:r w:rsidR="002A7FF7" w:rsidRPr="00E121C7">
        <w:t xml:space="preserve"> </w:t>
      </w:r>
      <w:r w:rsidR="002A7FF7" w:rsidRPr="00E121C7">
        <w:rPr>
          <w:rStyle w:val="t286pc"/>
          <w:rFonts w:eastAsiaTheme="majorEastAsia"/>
          <w:color w:val="0A0A0A"/>
        </w:rPr>
        <w:t xml:space="preserve">applications for Conditional Use Permits, Variances, Planned Unit Developments, </w:t>
      </w:r>
      <w:r w:rsidR="00C1455F">
        <w:rPr>
          <w:rStyle w:val="t286pc"/>
          <w:rFonts w:eastAsiaTheme="majorEastAsia"/>
          <w:color w:val="0A0A0A"/>
        </w:rPr>
        <w:t xml:space="preserve">and </w:t>
      </w:r>
      <w:r w:rsidR="001A64E8" w:rsidRPr="00E121C7">
        <w:rPr>
          <w:rStyle w:val="t286pc"/>
          <w:rFonts w:eastAsiaTheme="majorEastAsia"/>
          <w:color w:val="0A0A0A"/>
        </w:rPr>
        <w:t>appeals of permit decisions made by the Community Development Director</w:t>
      </w:r>
      <w:r w:rsidR="00A057C4">
        <w:rPr>
          <w:rStyle w:val="t286pc"/>
          <w:rFonts w:eastAsiaTheme="majorEastAsia"/>
          <w:color w:val="0A0A0A"/>
        </w:rPr>
        <w:t>,</w:t>
      </w:r>
      <w:r w:rsidR="002C345A" w:rsidRPr="00E121C7">
        <w:rPr>
          <w:rStyle w:val="t286pc"/>
          <w:rFonts w:eastAsiaTheme="majorEastAsia"/>
          <w:color w:val="0A0A0A"/>
        </w:rPr>
        <w:t xml:space="preserve"> </w:t>
      </w:r>
      <w:r w:rsidR="002A7FF7" w:rsidRPr="00E121C7">
        <w:rPr>
          <w:rStyle w:val="t286pc"/>
          <w:rFonts w:eastAsiaTheme="majorEastAsia"/>
          <w:color w:val="0A0A0A"/>
        </w:rPr>
        <w:t xml:space="preserve">as required </w:t>
      </w:r>
      <w:r w:rsidR="00D83DCD" w:rsidRPr="00E121C7">
        <w:rPr>
          <w:rStyle w:val="t286pc"/>
          <w:rFonts w:eastAsiaTheme="majorEastAsia"/>
          <w:color w:val="0A0A0A"/>
        </w:rPr>
        <w:t xml:space="preserve">in </w:t>
      </w:r>
      <w:hyperlink r:id="rId8" w:anchor="!/Newberg15/Newberg15100.html" w:history="1">
        <w:r w:rsidR="002A7FF7" w:rsidRPr="00E121C7">
          <w:rPr>
            <w:rStyle w:val="Hyperlink"/>
            <w:rFonts w:eastAsiaTheme="majorEastAsia"/>
          </w:rPr>
          <w:t>NMC Chapter 15.100</w:t>
        </w:r>
      </w:hyperlink>
      <w:r w:rsidR="002A7FF7" w:rsidRPr="00E121C7">
        <w:rPr>
          <w:rStyle w:val="t286pc"/>
          <w:rFonts w:eastAsiaTheme="majorEastAsia"/>
          <w:color w:val="0A0A0A"/>
        </w:rPr>
        <w:t>.</w:t>
      </w:r>
      <w:r w:rsidR="009A62D7" w:rsidRPr="00E121C7">
        <w:rPr>
          <w:rStyle w:val="t286pc"/>
          <w:rFonts w:eastAsiaTheme="majorEastAsia"/>
          <w:color w:val="0A0A0A"/>
        </w:rPr>
        <w:t xml:space="preserve"> Appeals of decisions made by the P</w:t>
      </w:r>
      <w:r w:rsidR="00F01613" w:rsidRPr="00E121C7">
        <w:rPr>
          <w:rStyle w:val="t286pc"/>
          <w:rFonts w:eastAsiaTheme="majorEastAsia"/>
          <w:color w:val="0A0A0A"/>
        </w:rPr>
        <w:t xml:space="preserve">lanning Commission </w:t>
      </w:r>
      <w:r w:rsidR="009A62D7" w:rsidRPr="00E121C7">
        <w:rPr>
          <w:rStyle w:val="t286pc"/>
          <w:rFonts w:eastAsiaTheme="majorEastAsia"/>
          <w:color w:val="0A0A0A"/>
        </w:rPr>
        <w:t>are decided by</w:t>
      </w:r>
      <w:r w:rsidR="00F01613" w:rsidRPr="00E121C7">
        <w:rPr>
          <w:rStyle w:val="t286pc"/>
          <w:rFonts w:eastAsiaTheme="majorEastAsia"/>
          <w:color w:val="0A0A0A"/>
        </w:rPr>
        <w:t xml:space="preserve"> City Council.</w:t>
      </w:r>
    </w:p>
    <w:p w14:paraId="59FCD95F" w14:textId="1E74C923" w:rsidR="006E0DA0" w:rsidRPr="00E121C7" w:rsidRDefault="00160F4D" w:rsidP="006E0DA0">
      <w:pPr>
        <w:pStyle w:val="ListParagraph"/>
        <w:numPr>
          <w:ilvl w:val="0"/>
          <w:numId w:val="9"/>
        </w:numPr>
        <w:spacing w:after="120"/>
        <w:rPr>
          <w:b/>
          <w:bCs/>
        </w:rPr>
      </w:pPr>
      <w:r w:rsidRPr="00E121C7">
        <w:rPr>
          <w:b/>
          <w:bCs/>
        </w:rPr>
        <w:t>C</w:t>
      </w:r>
      <w:r w:rsidR="00D17FED" w:rsidRPr="00E121C7">
        <w:rPr>
          <w:b/>
          <w:bCs/>
        </w:rPr>
        <w:t>ommunity</w:t>
      </w:r>
      <w:r w:rsidRPr="00E121C7">
        <w:rPr>
          <w:b/>
          <w:bCs/>
        </w:rPr>
        <w:t xml:space="preserve"> Liaison</w:t>
      </w:r>
    </w:p>
    <w:p w14:paraId="3EACF9BF" w14:textId="7809A44A" w:rsidR="00160F4D" w:rsidRPr="00E121C7" w:rsidRDefault="002C345A" w:rsidP="002C345A">
      <w:pPr>
        <w:pStyle w:val="ListParagraph"/>
      </w:pPr>
      <w:r w:rsidRPr="00E121C7">
        <w:t>The Planning Commission may also r</w:t>
      </w:r>
      <w:r w:rsidR="00160F4D" w:rsidRPr="00E121C7">
        <w:t xml:space="preserve">eceive public input </w:t>
      </w:r>
      <w:r w:rsidR="00A057C4">
        <w:t>and develop recommendations to City Council o</w:t>
      </w:r>
      <w:r w:rsidR="00160F4D" w:rsidRPr="00E121C7">
        <w:t>n other planning-related issues and community concerns</w:t>
      </w:r>
      <w:r w:rsidR="00A057C4">
        <w:t xml:space="preserve"> during </w:t>
      </w:r>
      <w:r w:rsidR="00F4455B">
        <w:t xml:space="preserve">the Commission’s </w:t>
      </w:r>
      <w:r w:rsidR="00A057C4">
        <w:t>public meetings.</w:t>
      </w:r>
    </w:p>
    <w:p w14:paraId="0276E5C8" w14:textId="77777777" w:rsidR="00F01613" w:rsidRPr="00E121C7" w:rsidRDefault="00F01613" w:rsidP="004E508D">
      <w:pPr>
        <w:pStyle w:val="ListParagraph"/>
        <w:rPr>
          <w:rStyle w:val="t286pc"/>
          <w:rFonts w:eastAsiaTheme="majorEastAsia"/>
          <w:color w:val="0A0A0A"/>
        </w:rPr>
      </w:pPr>
    </w:p>
    <w:p w14:paraId="3A40D78E" w14:textId="16AC8340" w:rsidR="00BD6F4B" w:rsidRPr="00E121C7" w:rsidRDefault="00F01613" w:rsidP="00521C62">
      <w:pPr>
        <w:rPr>
          <w:rStyle w:val="t286pc"/>
          <w:rFonts w:eastAsia="Times New Roman"/>
          <w:b/>
          <w:bCs/>
          <w:color w:val="0A0A0A"/>
          <w:u w:val="single"/>
        </w:rPr>
      </w:pPr>
      <w:r w:rsidRPr="00E121C7">
        <w:rPr>
          <w:rStyle w:val="t286pc"/>
          <w:rFonts w:eastAsiaTheme="majorEastAsia"/>
          <w:b/>
          <w:bCs/>
          <w:color w:val="0A0A0A"/>
          <w:u w:val="single"/>
        </w:rPr>
        <w:t>Public Meetings and State Ethics Requirements</w:t>
      </w:r>
    </w:p>
    <w:p w14:paraId="158267A2" w14:textId="7A156503" w:rsidR="009E506A" w:rsidRPr="00E121C7" w:rsidRDefault="009E506A" w:rsidP="00507002">
      <w:pPr>
        <w:pStyle w:val="ListParagraph"/>
        <w:numPr>
          <w:ilvl w:val="0"/>
          <w:numId w:val="10"/>
        </w:numPr>
        <w:spacing w:after="120"/>
        <w:rPr>
          <w:rStyle w:val="t286pc"/>
          <w:rFonts w:eastAsiaTheme="majorEastAsia"/>
          <w:b/>
          <w:bCs/>
          <w:color w:val="0A0A0A"/>
        </w:rPr>
      </w:pPr>
      <w:r w:rsidRPr="00E121C7">
        <w:rPr>
          <w:rStyle w:val="t286pc"/>
          <w:rFonts w:eastAsiaTheme="majorEastAsia"/>
          <w:b/>
          <w:bCs/>
          <w:color w:val="0A0A0A"/>
        </w:rPr>
        <w:t xml:space="preserve">Did you know that planning commissioners are public officials? </w:t>
      </w:r>
    </w:p>
    <w:p w14:paraId="5B158BF2" w14:textId="6DD09863" w:rsidR="004E508D" w:rsidRDefault="00BD6F4B" w:rsidP="00BC28B2">
      <w:pPr>
        <w:pStyle w:val="ListParagraph"/>
        <w:rPr>
          <w:rFonts w:eastAsiaTheme="majorEastAsia"/>
          <w:color w:val="0A0A0A"/>
        </w:rPr>
      </w:pPr>
      <w:r w:rsidRPr="00E121C7">
        <w:rPr>
          <w:rStyle w:val="t286pc"/>
          <w:rFonts w:eastAsiaTheme="majorEastAsia"/>
          <w:color w:val="0A0A0A"/>
        </w:rPr>
        <w:t>Planning commissioners are “public officials” as defined in state law</w:t>
      </w:r>
      <w:r w:rsidR="00AC1219" w:rsidRPr="00E121C7">
        <w:rPr>
          <w:rStyle w:val="t286pc"/>
          <w:rFonts w:eastAsiaTheme="majorEastAsia"/>
          <w:color w:val="0A0A0A"/>
        </w:rPr>
        <w:t xml:space="preserve"> and </w:t>
      </w:r>
      <w:r w:rsidRPr="00E121C7">
        <w:rPr>
          <w:rStyle w:val="t286pc"/>
          <w:rFonts w:eastAsiaTheme="majorEastAsia"/>
          <w:color w:val="0A0A0A"/>
        </w:rPr>
        <w:t>must comply with Oregon Government Ethics Requirements</w:t>
      </w:r>
      <w:r w:rsidR="000C612B" w:rsidRPr="00E121C7">
        <w:rPr>
          <w:rStyle w:val="t286pc"/>
          <w:rFonts w:eastAsiaTheme="majorEastAsia"/>
          <w:color w:val="0A0A0A"/>
        </w:rPr>
        <w:t xml:space="preserve"> including</w:t>
      </w:r>
      <w:r w:rsidR="00521C62" w:rsidRPr="00E121C7">
        <w:rPr>
          <w:rStyle w:val="t286pc"/>
          <w:rFonts w:eastAsiaTheme="majorEastAsia"/>
          <w:color w:val="0A0A0A"/>
        </w:rPr>
        <w:t xml:space="preserve"> avoiding </w:t>
      </w:r>
      <w:r w:rsidR="000C612B" w:rsidRPr="00E121C7">
        <w:rPr>
          <w:rStyle w:val="t286pc"/>
          <w:rFonts w:eastAsiaTheme="majorEastAsia"/>
          <w:color w:val="0A0A0A"/>
        </w:rPr>
        <w:t xml:space="preserve">financial </w:t>
      </w:r>
      <w:r w:rsidR="00521C62" w:rsidRPr="00E121C7">
        <w:rPr>
          <w:rStyle w:val="t286pc"/>
          <w:rFonts w:eastAsiaTheme="majorEastAsia"/>
          <w:color w:val="0A0A0A"/>
        </w:rPr>
        <w:t>conflicts of interest</w:t>
      </w:r>
      <w:r w:rsidR="000C612B" w:rsidRPr="00E121C7">
        <w:rPr>
          <w:rStyle w:val="t286pc"/>
          <w:rFonts w:eastAsiaTheme="majorEastAsia"/>
          <w:color w:val="0A0A0A"/>
        </w:rPr>
        <w:t xml:space="preserve"> and following other </w:t>
      </w:r>
      <w:r w:rsidR="00F4455B">
        <w:rPr>
          <w:rStyle w:val="t286pc"/>
          <w:rFonts w:eastAsiaTheme="majorEastAsia"/>
          <w:color w:val="0A0A0A"/>
        </w:rPr>
        <w:t xml:space="preserve">legal </w:t>
      </w:r>
      <w:r w:rsidR="006010D8" w:rsidRPr="00E121C7">
        <w:rPr>
          <w:rStyle w:val="t286pc"/>
          <w:rFonts w:eastAsiaTheme="majorEastAsia"/>
          <w:color w:val="0A0A0A"/>
        </w:rPr>
        <w:t>requirements</w:t>
      </w:r>
      <w:r w:rsidR="00534A00" w:rsidRPr="00E121C7">
        <w:rPr>
          <w:rStyle w:val="t286pc"/>
          <w:rFonts w:eastAsiaTheme="majorEastAsia"/>
          <w:color w:val="0A0A0A"/>
        </w:rPr>
        <w:t>.</w:t>
      </w:r>
      <w:r w:rsidR="00507002" w:rsidRPr="00E121C7">
        <w:rPr>
          <w:rStyle w:val="t286pc"/>
          <w:rFonts w:eastAsiaTheme="majorEastAsia"/>
          <w:color w:val="0A0A0A"/>
        </w:rPr>
        <w:t xml:space="preserve"> If you are appointed to the Commission, city staff will provide </w:t>
      </w:r>
      <w:r w:rsidR="008D4F0C" w:rsidRPr="00E121C7">
        <w:rPr>
          <w:rStyle w:val="t286pc"/>
          <w:rFonts w:eastAsiaTheme="majorEastAsia"/>
          <w:color w:val="0A0A0A"/>
        </w:rPr>
        <w:t xml:space="preserve">background on this though commissioners are individually responsible for complying with state law. </w:t>
      </w:r>
      <w:r w:rsidR="00534A00" w:rsidRPr="00E121C7">
        <w:rPr>
          <w:rStyle w:val="t286pc"/>
          <w:rFonts w:eastAsiaTheme="majorEastAsia"/>
          <w:color w:val="0A0A0A"/>
        </w:rPr>
        <w:t xml:space="preserve"> </w:t>
      </w:r>
      <w:r w:rsidR="000C16E3" w:rsidRPr="00E121C7">
        <w:rPr>
          <w:rFonts w:eastAsiaTheme="majorEastAsia"/>
          <w:color w:val="0A0A0A"/>
        </w:rPr>
        <w:t xml:space="preserve">This includes </w:t>
      </w:r>
      <w:r w:rsidRPr="00E121C7">
        <w:rPr>
          <w:rFonts w:eastAsiaTheme="majorEastAsia"/>
          <w:color w:val="0A0A0A"/>
        </w:rPr>
        <w:t xml:space="preserve">annually </w:t>
      </w:r>
      <w:r w:rsidRPr="00E121C7">
        <w:rPr>
          <w:rFonts w:eastAsiaTheme="majorEastAsia"/>
          <w:color w:val="0A0A0A"/>
        </w:rPr>
        <w:lastRenderedPageBreak/>
        <w:t>fil</w:t>
      </w:r>
      <w:r w:rsidR="000C16E3" w:rsidRPr="00E121C7">
        <w:rPr>
          <w:rFonts w:eastAsiaTheme="majorEastAsia"/>
          <w:color w:val="0A0A0A"/>
        </w:rPr>
        <w:t>ing a Conflicts of Interest disclosure</w:t>
      </w:r>
      <w:r w:rsidRPr="00E121C7">
        <w:rPr>
          <w:rFonts w:eastAsiaTheme="majorEastAsia"/>
          <w:color w:val="0A0A0A"/>
        </w:rPr>
        <w:t xml:space="preserve"> with the Oregon Government Ethics Commission. </w:t>
      </w:r>
      <w:r w:rsidR="00F4455B" w:rsidRPr="00E121C7">
        <w:rPr>
          <w:rStyle w:val="t286pc"/>
          <w:rFonts w:eastAsiaTheme="majorEastAsia"/>
          <w:color w:val="0A0A0A"/>
        </w:rPr>
        <w:t xml:space="preserve">See </w:t>
      </w:r>
      <w:hyperlink r:id="rId9" w:tgtFrame="_blank" w:history="1">
        <w:r w:rsidR="00F4455B" w:rsidRPr="00E121C7">
          <w:rPr>
            <w:rStyle w:val="Hyperlink"/>
            <w:rFonts w:eastAsiaTheme="majorEastAsia"/>
          </w:rPr>
          <w:t>ORS Chapter 244</w:t>
        </w:r>
      </w:hyperlink>
      <w:r w:rsidR="00F4455B" w:rsidRPr="00E121C7">
        <w:rPr>
          <w:rFonts w:eastAsiaTheme="majorEastAsia"/>
          <w:color w:val="0A0A0A"/>
        </w:rPr>
        <w:t xml:space="preserve">. </w:t>
      </w:r>
    </w:p>
    <w:p w14:paraId="32E2C82F" w14:textId="77777777" w:rsidR="00BC28B2" w:rsidRPr="00BC28B2" w:rsidRDefault="00BC28B2" w:rsidP="00BC28B2">
      <w:pPr>
        <w:pStyle w:val="ListParagraph"/>
        <w:rPr>
          <w:rStyle w:val="t286pc"/>
        </w:rPr>
      </w:pPr>
    </w:p>
    <w:p w14:paraId="3B318E4B" w14:textId="6F6A452E" w:rsidR="003C1180" w:rsidRPr="00E121C7" w:rsidRDefault="003C1180" w:rsidP="00580298">
      <w:pPr>
        <w:pStyle w:val="ListParagraph"/>
        <w:numPr>
          <w:ilvl w:val="0"/>
          <w:numId w:val="10"/>
        </w:numPr>
        <w:spacing w:after="120"/>
        <w:rPr>
          <w:rStyle w:val="t286pc"/>
          <w:rFonts w:eastAsiaTheme="majorEastAsia"/>
          <w:b/>
          <w:bCs/>
          <w:color w:val="0A0A0A"/>
        </w:rPr>
      </w:pPr>
      <w:r w:rsidRPr="00E121C7">
        <w:rPr>
          <w:rStyle w:val="t286pc"/>
          <w:rFonts w:eastAsiaTheme="majorEastAsia"/>
          <w:b/>
          <w:bCs/>
          <w:color w:val="0A0A0A"/>
        </w:rPr>
        <w:t>Public meetings</w:t>
      </w:r>
    </w:p>
    <w:p w14:paraId="40DFDB1B" w14:textId="7DD74301" w:rsidR="000C16E3" w:rsidRPr="00E121C7" w:rsidRDefault="000C16E3" w:rsidP="00580298">
      <w:pPr>
        <w:spacing w:after="0"/>
        <w:ind w:left="720"/>
        <w:rPr>
          <w:rStyle w:val="t286pc"/>
          <w:rFonts w:eastAsiaTheme="majorEastAsia"/>
          <w:color w:val="0A0A0A"/>
        </w:rPr>
      </w:pPr>
      <w:r w:rsidRPr="00E121C7">
        <w:rPr>
          <w:rStyle w:val="t286pc"/>
          <w:rFonts w:eastAsiaTheme="majorEastAsia"/>
          <w:color w:val="0A0A0A"/>
        </w:rPr>
        <w:t>The Planning Commission is a “public body” as defined in state law</w:t>
      </w:r>
      <w:r w:rsidR="00580298" w:rsidRPr="00E121C7">
        <w:rPr>
          <w:rStyle w:val="t286pc"/>
          <w:rFonts w:eastAsiaTheme="majorEastAsia"/>
          <w:color w:val="0A0A0A"/>
        </w:rPr>
        <w:t>,</w:t>
      </w:r>
      <w:r w:rsidRPr="00E121C7">
        <w:rPr>
          <w:rStyle w:val="t286pc"/>
          <w:rFonts w:eastAsiaTheme="majorEastAsia"/>
          <w:color w:val="0A0A0A"/>
        </w:rPr>
        <w:t xml:space="preserve"> mean</w:t>
      </w:r>
      <w:r w:rsidR="00580298" w:rsidRPr="00E121C7">
        <w:rPr>
          <w:rStyle w:val="t286pc"/>
          <w:rFonts w:eastAsiaTheme="majorEastAsia"/>
          <w:color w:val="0A0A0A"/>
        </w:rPr>
        <w:t>ing</w:t>
      </w:r>
      <w:r w:rsidRPr="00E121C7">
        <w:rPr>
          <w:rStyle w:val="t286pc"/>
          <w:rFonts w:eastAsiaTheme="majorEastAsia"/>
          <w:color w:val="0A0A0A"/>
        </w:rPr>
        <w:t xml:space="preserve"> the Commission must comply with public meeting laws</w:t>
      </w:r>
      <w:r w:rsidR="00F4455B">
        <w:rPr>
          <w:rStyle w:val="t286pc"/>
          <w:rFonts w:eastAsiaTheme="majorEastAsia"/>
          <w:color w:val="0A0A0A"/>
        </w:rPr>
        <w:t>, including</w:t>
      </w:r>
      <w:r w:rsidR="003743B0">
        <w:t xml:space="preserve"> following City Council Rules,</w:t>
      </w:r>
      <w:r w:rsidR="00F4455B">
        <w:rPr>
          <w:rStyle w:val="t286pc"/>
          <w:rFonts w:eastAsiaTheme="majorEastAsia"/>
          <w:color w:val="0A0A0A"/>
        </w:rPr>
        <w:t xml:space="preserve"> </w:t>
      </w:r>
      <w:r w:rsidR="00BF24E3">
        <w:rPr>
          <w:rStyle w:val="t286pc"/>
          <w:rFonts w:eastAsiaTheme="majorEastAsia"/>
          <w:color w:val="0A0A0A"/>
        </w:rPr>
        <w:t>receiving public</w:t>
      </w:r>
      <w:r w:rsidR="00F4455B" w:rsidRPr="00E121C7">
        <w:t xml:space="preserve"> input </w:t>
      </w:r>
      <w:r w:rsidR="00BF24E3">
        <w:t>only in</w:t>
      </w:r>
      <w:r w:rsidR="00F4455B" w:rsidRPr="00E121C7">
        <w:t xml:space="preserve"> public meeting</w:t>
      </w:r>
      <w:r w:rsidR="00BF24E3">
        <w:t xml:space="preserve">s, </w:t>
      </w:r>
      <w:r w:rsidR="003743B0">
        <w:t xml:space="preserve">and following </w:t>
      </w:r>
      <w:r w:rsidR="00BD08A2">
        <w:t>the published</w:t>
      </w:r>
      <w:r w:rsidR="00F4455B" w:rsidRPr="00E121C7">
        <w:t xml:space="preserve"> meeting agenda</w:t>
      </w:r>
      <w:r w:rsidR="00BD08A2">
        <w:t>s</w:t>
      </w:r>
      <w:r w:rsidR="00F4455B" w:rsidRPr="00E121C7">
        <w:t>.</w:t>
      </w:r>
      <w:r w:rsidR="00BD08A2">
        <w:t xml:space="preserve"> </w:t>
      </w:r>
      <w:r w:rsidRPr="00E121C7">
        <w:rPr>
          <w:rStyle w:val="t286pc"/>
          <w:rFonts w:eastAsiaTheme="majorEastAsia"/>
          <w:color w:val="0A0A0A"/>
        </w:rPr>
        <w:t xml:space="preserve">See </w:t>
      </w:r>
      <w:hyperlink r:id="rId10" w:tgtFrame="_blank" w:history="1">
        <w:r w:rsidRPr="00E121C7">
          <w:rPr>
            <w:rStyle w:val="Hyperlink"/>
            <w:rFonts w:eastAsiaTheme="majorEastAsia"/>
          </w:rPr>
          <w:t>ORS 192.610 to ORS 192.705</w:t>
        </w:r>
      </w:hyperlink>
      <w:r w:rsidRPr="00E121C7">
        <w:rPr>
          <w:rFonts w:eastAsiaTheme="majorEastAsia"/>
          <w:color w:val="0A0A0A"/>
        </w:rPr>
        <w:t xml:space="preserve">. </w:t>
      </w:r>
      <w:r w:rsidRPr="00E121C7">
        <w:rPr>
          <w:rStyle w:val="t286pc"/>
          <w:rFonts w:eastAsiaTheme="majorEastAsia"/>
          <w:color w:val="0A0A0A"/>
        </w:rPr>
        <w:t xml:space="preserve"> If you are appointed to the Commission, </w:t>
      </w:r>
      <w:r w:rsidR="00580298" w:rsidRPr="00E121C7">
        <w:rPr>
          <w:rStyle w:val="t286pc"/>
          <w:rFonts w:eastAsiaTheme="majorEastAsia"/>
          <w:color w:val="0A0A0A"/>
        </w:rPr>
        <w:t>staff</w:t>
      </w:r>
      <w:r w:rsidRPr="00E121C7">
        <w:rPr>
          <w:rStyle w:val="t286pc"/>
          <w:rFonts w:eastAsiaTheme="majorEastAsia"/>
          <w:color w:val="0A0A0A"/>
        </w:rPr>
        <w:t xml:space="preserve"> will provide more information on public meeting</w:t>
      </w:r>
      <w:r w:rsidR="00BD08A2">
        <w:rPr>
          <w:rStyle w:val="t286pc"/>
          <w:rFonts w:eastAsiaTheme="majorEastAsia"/>
          <w:color w:val="0A0A0A"/>
        </w:rPr>
        <w:t>s</w:t>
      </w:r>
      <w:r w:rsidRPr="00E121C7">
        <w:rPr>
          <w:rStyle w:val="t286pc"/>
          <w:rFonts w:eastAsiaTheme="majorEastAsia"/>
          <w:color w:val="0A0A0A"/>
        </w:rPr>
        <w:t>.</w:t>
      </w:r>
      <w:r w:rsidR="00580298" w:rsidRPr="00E121C7">
        <w:rPr>
          <w:rStyle w:val="t286pc"/>
          <w:rFonts w:eastAsiaTheme="majorEastAsia"/>
          <w:color w:val="0A0A0A"/>
        </w:rPr>
        <w:t xml:space="preserve"> </w:t>
      </w:r>
    </w:p>
    <w:p w14:paraId="09AA5156" w14:textId="77777777" w:rsidR="006D2BAA" w:rsidRPr="00E121C7" w:rsidRDefault="006D2BAA" w:rsidP="00AC00E7"/>
    <w:p w14:paraId="2110FE8C" w14:textId="4A1514AA" w:rsidR="00B47F33" w:rsidRPr="00E121C7" w:rsidRDefault="00785DA4" w:rsidP="009518A9">
      <w:pPr>
        <w:rPr>
          <w:b/>
          <w:bCs/>
        </w:rPr>
      </w:pPr>
      <w:r w:rsidRPr="00E121C7">
        <w:rPr>
          <w:b/>
          <w:bCs/>
        </w:rPr>
        <w:t xml:space="preserve">General </w:t>
      </w:r>
      <w:r w:rsidR="00B47F33" w:rsidRPr="00E121C7">
        <w:rPr>
          <w:b/>
          <w:bCs/>
        </w:rPr>
        <w:t>Expectations</w:t>
      </w:r>
    </w:p>
    <w:p w14:paraId="0C3223E8" w14:textId="59B18028" w:rsidR="0017106B" w:rsidRPr="00E121C7" w:rsidRDefault="0017106B" w:rsidP="00E121C7">
      <w:pPr>
        <w:pStyle w:val="ListParagraph"/>
        <w:numPr>
          <w:ilvl w:val="0"/>
          <w:numId w:val="11"/>
        </w:numPr>
      </w:pPr>
      <w:r w:rsidRPr="00E121C7">
        <w:t>Planning Commission</w:t>
      </w:r>
      <w:r w:rsidR="001B0A5A" w:rsidRPr="00E121C7">
        <w:t xml:space="preserve"> </w:t>
      </w:r>
      <w:r w:rsidRPr="00E121C7">
        <w:t>consist</w:t>
      </w:r>
      <w:r w:rsidR="001B0A5A" w:rsidRPr="00E121C7">
        <w:t>s</w:t>
      </w:r>
      <w:r w:rsidRPr="00E121C7">
        <w:t xml:space="preserve"> of </w:t>
      </w:r>
      <w:r w:rsidR="00CF11F8" w:rsidRPr="00E121C7">
        <w:t>8 members including one student member</w:t>
      </w:r>
      <w:r w:rsidR="001B0A5A" w:rsidRPr="00E121C7">
        <w:t>:</w:t>
      </w:r>
    </w:p>
    <w:p w14:paraId="77305C10" w14:textId="6D112F98" w:rsidR="00B47F33" w:rsidRPr="00E121C7" w:rsidRDefault="001B0A5A" w:rsidP="00E121C7">
      <w:pPr>
        <w:pStyle w:val="ListParagraph"/>
        <w:numPr>
          <w:ilvl w:val="1"/>
          <w:numId w:val="11"/>
        </w:numPr>
      </w:pPr>
      <w:r w:rsidRPr="00E121C7">
        <w:t>All m</w:t>
      </w:r>
      <w:r w:rsidR="0017106B" w:rsidRPr="00E121C7">
        <w:t xml:space="preserve">ust live </w:t>
      </w:r>
      <w:r w:rsidR="00B47F33" w:rsidRPr="00E121C7">
        <w:t>within the urban growth boundary</w:t>
      </w:r>
      <w:r w:rsidR="005B6CC0" w:rsidRPr="00E121C7">
        <w:t xml:space="preserve"> </w:t>
      </w:r>
      <w:r w:rsidR="00B47F33" w:rsidRPr="00E121C7">
        <w:t>(UGB)</w:t>
      </w:r>
      <w:r w:rsidR="001E227A">
        <w:t>, except</w:t>
      </w:r>
    </w:p>
    <w:p w14:paraId="1073AD7B" w14:textId="0AB355C7" w:rsidR="00E121C7" w:rsidRDefault="001B0A5A" w:rsidP="00E121C7">
      <w:pPr>
        <w:pStyle w:val="ListParagraph"/>
        <w:numPr>
          <w:ilvl w:val="1"/>
          <w:numId w:val="11"/>
        </w:numPr>
      </w:pPr>
      <w:r w:rsidRPr="00E121C7">
        <w:t>One member residing</w:t>
      </w:r>
      <w:r w:rsidR="00B47F33" w:rsidRPr="00E121C7">
        <w:t xml:space="preserve"> </w:t>
      </w:r>
      <w:r w:rsidRPr="00E121C7">
        <w:t xml:space="preserve">outside </w:t>
      </w:r>
      <w:r w:rsidR="005B6CC0" w:rsidRPr="00E121C7">
        <w:t xml:space="preserve">the UGB may be appointed provided they live within one mile of the UGB. </w:t>
      </w:r>
    </w:p>
    <w:p w14:paraId="0FF42058" w14:textId="03375849" w:rsidR="00733FAD" w:rsidRPr="00E121C7" w:rsidRDefault="00733FAD" w:rsidP="00733FAD">
      <w:pPr>
        <w:pStyle w:val="ListParagraph"/>
        <w:numPr>
          <w:ilvl w:val="0"/>
          <w:numId w:val="11"/>
        </w:numPr>
      </w:pPr>
      <w:r>
        <w:t>Planning Commission</w:t>
      </w:r>
      <w:r w:rsidRPr="00E121C7">
        <w:t xml:space="preserve"> appoint</w:t>
      </w:r>
      <w:r>
        <w:t>ments are made</w:t>
      </w:r>
      <w:r w:rsidRPr="00E121C7">
        <w:t xml:space="preserve"> by the </w:t>
      </w:r>
      <w:r w:rsidR="006108DE">
        <w:t>M</w:t>
      </w:r>
      <w:r w:rsidR="006108DE" w:rsidRPr="00E121C7">
        <w:t>ayor</w:t>
      </w:r>
      <w:r w:rsidRPr="00E121C7">
        <w:t xml:space="preserve"> and approved by City Council for fixed terms of </w:t>
      </w:r>
      <w:r>
        <w:t>3 calendar</w:t>
      </w:r>
      <w:r w:rsidRPr="00E121C7">
        <w:t xml:space="preserve"> years</w:t>
      </w:r>
      <w:r>
        <w:t>, except for the Student Member is appointed for a 1-year term.</w:t>
      </w:r>
    </w:p>
    <w:p w14:paraId="796760A6" w14:textId="2C8A2B11" w:rsidR="00E121C7" w:rsidRPr="00E121C7" w:rsidRDefault="009835AB" w:rsidP="00E121C7">
      <w:pPr>
        <w:pStyle w:val="ListParagraph"/>
        <w:numPr>
          <w:ilvl w:val="0"/>
          <w:numId w:val="11"/>
        </w:numPr>
      </w:pPr>
      <w:r w:rsidRPr="00E121C7">
        <w:t xml:space="preserve">Monthly meetings </w:t>
      </w:r>
      <w:r w:rsidR="00926351" w:rsidRPr="00E121C7">
        <w:t>are held</w:t>
      </w:r>
      <w:r w:rsidRPr="00E121C7">
        <w:t xml:space="preserve"> in-person </w:t>
      </w:r>
      <w:r w:rsidR="00C4023C" w:rsidRPr="00E121C7">
        <w:t>at 6:30 p.m. at the Public Safety Building</w:t>
      </w:r>
      <w:r w:rsidR="00E121C7" w:rsidRPr="00E121C7">
        <w:t xml:space="preserve">, 401 E. Third Street, Newberg, OR 97132. </w:t>
      </w:r>
      <w:r w:rsidR="00C4023C" w:rsidRPr="00E121C7">
        <w:t>Meetings are also</w:t>
      </w:r>
      <w:r w:rsidRPr="00E121C7">
        <w:t xml:space="preserve"> </w:t>
      </w:r>
      <w:r w:rsidR="00E121C7" w:rsidRPr="00E121C7">
        <w:t>live streamed</w:t>
      </w:r>
      <w:r w:rsidRPr="00E121C7">
        <w:t xml:space="preserve"> on Zoom</w:t>
      </w:r>
      <w:r w:rsidR="00F15C51" w:rsidRPr="00E121C7">
        <w:t>.</w:t>
      </w:r>
      <w:r w:rsidR="00926351" w:rsidRPr="00E121C7">
        <w:t xml:space="preserve"> </w:t>
      </w:r>
    </w:p>
    <w:p w14:paraId="518EA055" w14:textId="3C34D22D" w:rsidR="00E121C7" w:rsidRPr="00E121C7" w:rsidRDefault="00933AB2" w:rsidP="00E121C7">
      <w:pPr>
        <w:pStyle w:val="ListParagraph"/>
        <w:numPr>
          <w:ilvl w:val="0"/>
          <w:numId w:val="11"/>
        </w:numPr>
      </w:pPr>
      <w:r w:rsidRPr="00E121C7">
        <w:t>Meeting materials are</w:t>
      </w:r>
      <w:r w:rsidR="0017106B" w:rsidRPr="00E121C7">
        <w:t xml:space="preserve"> distributed </w:t>
      </w:r>
      <w:r w:rsidRPr="00E121C7">
        <w:t>electronically one</w:t>
      </w:r>
      <w:r w:rsidR="0017106B" w:rsidRPr="00E121C7">
        <w:t xml:space="preserve"> week before </w:t>
      </w:r>
      <w:r w:rsidR="00C4023C" w:rsidRPr="00E121C7">
        <w:t xml:space="preserve">each </w:t>
      </w:r>
      <w:r w:rsidR="0017106B" w:rsidRPr="00E121C7">
        <w:t xml:space="preserve">meeting. </w:t>
      </w:r>
      <w:r w:rsidRPr="00E121C7">
        <w:t xml:space="preserve">Commissioners are expected to </w:t>
      </w:r>
      <w:r w:rsidR="00C4023C" w:rsidRPr="00E121C7">
        <w:t>review the meeting materials</w:t>
      </w:r>
      <w:r w:rsidR="00B47F33" w:rsidRPr="00E121C7">
        <w:t xml:space="preserve"> </w:t>
      </w:r>
      <w:r w:rsidR="00C4023C" w:rsidRPr="00E121C7">
        <w:t xml:space="preserve">before the night of the meeting </w:t>
      </w:r>
      <w:r w:rsidR="00B47F33" w:rsidRPr="00E121C7">
        <w:t xml:space="preserve">and </w:t>
      </w:r>
      <w:r w:rsidR="00C4023C" w:rsidRPr="00E121C7">
        <w:t>come</w:t>
      </w:r>
      <w:r w:rsidR="00F01041" w:rsidRPr="00E121C7">
        <w:t xml:space="preserve"> prepared</w:t>
      </w:r>
      <w:r w:rsidR="00AE25FB" w:rsidRPr="00E121C7">
        <w:t xml:space="preserve"> to participate</w:t>
      </w:r>
      <w:r w:rsidR="00E121C7" w:rsidRPr="00E121C7">
        <w:t>.</w:t>
      </w:r>
    </w:p>
    <w:p w14:paraId="0E93C259" w14:textId="267EAC97" w:rsidR="00E121C7" w:rsidRPr="00E121C7" w:rsidRDefault="00E121C7" w:rsidP="00E121C7">
      <w:pPr>
        <w:pStyle w:val="ListParagraph"/>
        <w:numPr>
          <w:ilvl w:val="0"/>
          <w:numId w:val="11"/>
        </w:numPr>
      </w:pPr>
      <w:r w:rsidRPr="00E121C7">
        <w:t>Attendance at 75% of the meetings is required or a commissioner may be removed from their position.</w:t>
      </w:r>
    </w:p>
    <w:p w14:paraId="1D43DBFE" w14:textId="18F8FEA6" w:rsidR="00E121C7" w:rsidRPr="00E121C7" w:rsidRDefault="00AE25FB" w:rsidP="00E121C7">
      <w:pPr>
        <w:pStyle w:val="ListParagraph"/>
        <w:numPr>
          <w:ilvl w:val="0"/>
          <w:numId w:val="11"/>
        </w:numPr>
      </w:pPr>
      <w:r w:rsidRPr="00E121C7">
        <w:t xml:space="preserve">Commissioners </w:t>
      </w:r>
      <w:r w:rsidR="00443C3B" w:rsidRPr="00E121C7">
        <w:t xml:space="preserve">will be issued a </w:t>
      </w:r>
      <w:r w:rsidR="00D27B80" w:rsidRPr="00E121C7">
        <w:t>city</w:t>
      </w:r>
      <w:r w:rsidR="00443C3B" w:rsidRPr="00E121C7">
        <w:t xml:space="preserve"> email</w:t>
      </w:r>
      <w:r w:rsidR="00C4023C" w:rsidRPr="00E121C7">
        <w:t xml:space="preserve"> which they are expected to check regularly for city communications.</w:t>
      </w:r>
    </w:p>
    <w:p w14:paraId="7FD9E356" w14:textId="1344EB6A" w:rsidR="00E121C7" w:rsidRDefault="00C4023C" w:rsidP="00E121C7">
      <w:pPr>
        <w:pStyle w:val="ListParagraph"/>
        <w:numPr>
          <w:ilvl w:val="0"/>
          <w:numId w:val="11"/>
        </w:numPr>
      </w:pPr>
      <w:r w:rsidRPr="00E121C7">
        <w:t xml:space="preserve">A </w:t>
      </w:r>
      <w:r w:rsidR="00D27B80" w:rsidRPr="00E121C7">
        <w:t>city</w:t>
      </w:r>
      <w:r w:rsidR="00AE25FB" w:rsidRPr="00E121C7">
        <w:t xml:space="preserve"> tablet</w:t>
      </w:r>
      <w:r w:rsidR="00443C3B" w:rsidRPr="00E121C7">
        <w:t xml:space="preserve"> </w:t>
      </w:r>
      <w:r w:rsidRPr="00E121C7">
        <w:t>may be issued o</w:t>
      </w:r>
      <w:r w:rsidR="00443C3B" w:rsidRPr="00E121C7">
        <w:t xml:space="preserve">n </w:t>
      </w:r>
      <w:r w:rsidRPr="00E121C7">
        <w:t>request with a</w:t>
      </w:r>
      <w:r w:rsidR="00BF7D96" w:rsidRPr="00E121C7">
        <w:t xml:space="preserve"> signed technology agreement</w:t>
      </w:r>
      <w:r w:rsidRPr="00E121C7">
        <w:t xml:space="preserve"> required.</w:t>
      </w:r>
    </w:p>
    <w:p w14:paraId="0BB2A930" w14:textId="77777777" w:rsidR="00733FAD" w:rsidRDefault="00733FAD" w:rsidP="00733FAD">
      <w:pPr>
        <w:pStyle w:val="ListParagraph"/>
      </w:pPr>
    </w:p>
    <w:p w14:paraId="7A76667D" w14:textId="3CC24855" w:rsidR="00E121C7" w:rsidRPr="00E121C7" w:rsidRDefault="008A7408" w:rsidP="00E121C7">
      <w:pPr>
        <w:rPr>
          <w:b/>
          <w:bCs/>
        </w:rPr>
      </w:pPr>
      <w:r>
        <w:rPr>
          <w:b/>
          <w:bCs/>
        </w:rPr>
        <w:t>Planning Commission Staff Liaison</w:t>
      </w:r>
    </w:p>
    <w:p w14:paraId="7A3CEF3F" w14:textId="75CC7D38" w:rsidR="00E121C7" w:rsidRPr="00E121C7" w:rsidRDefault="00E121C7" w:rsidP="00E121C7">
      <w:r w:rsidRPr="00E121C7">
        <w:t xml:space="preserve">Staff support for the Planning Commission is provided by </w:t>
      </w:r>
      <w:r>
        <w:t>the Planning Division of the City of Newberg Community Development Department</w:t>
      </w:r>
      <w:r w:rsidRPr="00E121C7">
        <w:t xml:space="preserve">. For more information, contact the Community Development Director at </w:t>
      </w:r>
      <w:hyperlink r:id="rId11" w:history="1">
        <w:r w:rsidRPr="00E121C7">
          <w:rPr>
            <w:rStyle w:val="Hyperlink"/>
          </w:rPr>
          <w:t>planning@newbergoregon.gov</w:t>
        </w:r>
      </w:hyperlink>
      <w:r w:rsidR="008A7408">
        <w:t xml:space="preserve"> or 503-537-1212.</w:t>
      </w:r>
    </w:p>
    <w:sectPr w:rsidR="00E121C7" w:rsidRPr="00E121C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9FD8" w14:textId="77777777" w:rsidR="00B87D97" w:rsidRDefault="00B87D97" w:rsidP="008C34C2">
      <w:pPr>
        <w:spacing w:after="0" w:line="240" w:lineRule="auto"/>
      </w:pPr>
      <w:r>
        <w:separator/>
      </w:r>
    </w:p>
  </w:endnote>
  <w:endnote w:type="continuationSeparator" w:id="0">
    <w:p w14:paraId="5966B54D" w14:textId="77777777" w:rsidR="00B87D97" w:rsidRDefault="00B87D97" w:rsidP="008C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D5A3" w14:textId="307212C7" w:rsidR="003D3A6C" w:rsidRPr="009357A4" w:rsidRDefault="009357A4" w:rsidP="009357A4">
    <w:pPr>
      <w:pStyle w:val="Footer"/>
      <w:rPr>
        <w:sz w:val="20"/>
        <w:szCs w:val="20"/>
      </w:rPr>
    </w:pPr>
    <w:r w:rsidRPr="009357A4">
      <w:rPr>
        <w:sz w:val="20"/>
        <w:szCs w:val="20"/>
        <w:highlight w:val="yellow"/>
      </w:rPr>
      <w:t>Updated: 03/23/3036</w:t>
    </w:r>
    <w:r w:rsidRPr="009357A4">
      <w:rPr>
        <w:sz w:val="20"/>
        <w:szCs w:val="20"/>
      </w:rPr>
      <w:tab/>
    </w:r>
    <w:r w:rsidRPr="009357A4">
      <w:rPr>
        <w:sz w:val="20"/>
        <w:szCs w:val="20"/>
      </w:rPr>
      <w:tab/>
      <w:t xml:space="preserve"> Page </w:t>
    </w:r>
    <w:sdt>
      <w:sdtPr>
        <w:rPr>
          <w:sz w:val="20"/>
          <w:szCs w:val="20"/>
        </w:rPr>
        <w:id w:val="10680018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3A6C" w:rsidRPr="009357A4">
          <w:rPr>
            <w:sz w:val="20"/>
            <w:szCs w:val="20"/>
          </w:rPr>
          <w:fldChar w:fldCharType="begin"/>
        </w:r>
        <w:r w:rsidR="003D3A6C" w:rsidRPr="009357A4">
          <w:rPr>
            <w:sz w:val="20"/>
            <w:szCs w:val="20"/>
          </w:rPr>
          <w:instrText xml:space="preserve"> PAGE   \* MERGEFORMAT </w:instrText>
        </w:r>
        <w:r w:rsidR="003D3A6C" w:rsidRPr="009357A4">
          <w:rPr>
            <w:sz w:val="20"/>
            <w:szCs w:val="20"/>
          </w:rPr>
          <w:fldChar w:fldCharType="separate"/>
        </w:r>
        <w:r w:rsidR="003D3A6C" w:rsidRPr="009357A4">
          <w:rPr>
            <w:noProof/>
            <w:sz w:val="20"/>
            <w:szCs w:val="20"/>
          </w:rPr>
          <w:t>2</w:t>
        </w:r>
        <w:r w:rsidR="003D3A6C" w:rsidRPr="009357A4">
          <w:rPr>
            <w:noProof/>
            <w:sz w:val="20"/>
            <w:szCs w:val="20"/>
          </w:rPr>
          <w:fldChar w:fldCharType="end"/>
        </w:r>
        <w:r w:rsidRPr="009357A4">
          <w:rPr>
            <w:noProof/>
            <w:sz w:val="20"/>
            <w:szCs w:val="20"/>
          </w:rPr>
          <w:t xml:space="preserve"> of 2</w:t>
        </w:r>
      </w:sdtContent>
    </w:sdt>
  </w:p>
  <w:p w14:paraId="5EBE4C03" w14:textId="6ACC1746" w:rsidR="008C34C2" w:rsidRPr="0058477F" w:rsidRDefault="008C34C2" w:rsidP="0058477F">
    <w:pPr>
      <w:pStyle w:val="Footer"/>
      <w:jc w:val="right"/>
      <w:rPr>
        <w:color w:val="EE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A5C8" w14:textId="77777777" w:rsidR="00B87D97" w:rsidRDefault="00B87D97" w:rsidP="008C34C2">
      <w:pPr>
        <w:spacing w:after="0" w:line="240" w:lineRule="auto"/>
      </w:pPr>
      <w:r>
        <w:separator/>
      </w:r>
    </w:p>
  </w:footnote>
  <w:footnote w:type="continuationSeparator" w:id="0">
    <w:p w14:paraId="5C0C1FBC" w14:textId="77777777" w:rsidR="00B87D97" w:rsidRDefault="00B87D97" w:rsidP="008C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46D4" w14:textId="1FEE36DD" w:rsidR="008C34C2" w:rsidRPr="008C34C2" w:rsidRDefault="008C34C2" w:rsidP="008C34C2">
    <w:pPr>
      <w:pStyle w:val="Header"/>
      <w:jc w:val="center"/>
      <w:rPr>
        <w:sz w:val="28"/>
        <w:szCs w:val="28"/>
      </w:rPr>
    </w:pPr>
    <w:r w:rsidRPr="008C34C2">
      <w:rPr>
        <w:sz w:val="28"/>
        <w:szCs w:val="28"/>
      </w:rPr>
      <w:t>City of Newberg Planning Commission</w:t>
    </w:r>
  </w:p>
  <w:p w14:paraId="03566B06" w14:textId="643B6FE7" w:rsidR="008C34C2" w:rsidRDefault="008C34C2" w:rsidP="008C34C2">
    <w:pPr>
      <w:pStyle w:val="Header"/>
      <w:jc w:val="center"/>
      <w:rPr>
        <w:sz w:val="28"/>
        <w:szCs w:val="28"/>
      </w:rPr>
    </w:pPr>
    <w:r w:rsidRPr="008C34C2">
      <w:rPr>
        <w:sz w:val="28"/>
        <w:szCs w:val="28"/>
      </w:rPr>
      <w:t>Fact Sheet</w:t>
    </w:r>
  </w:p>
  <w:p w14:paraId="1482A50D" w14:textId="77777777" w:rsidR="008C34C2" w:rsidRPr="008C34C2" w:rsidRDefault="008C34C2" w:rsidP="008C34C2">
    <w:pPr>
      <w:pStyle w:val="Header"/>
      <w:jc w:val="center"/>
      <w:rPr>
        <w:sz w:val="28"/>
        <w:szCs w:val="28"/>
      </w:rPr>
    </w:pPr>
  </w:p>
  <w:p w14:paraId="6D9AD008" w14:textId="77777777" w:rsidR="008C34C2" w:rsidRDefault="008C3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E6A7E"/>
    <w:multiLevelType w:val="hybridMultilevel"/>
    <w:tmpl w:val="8892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60FEB"/>
    <w:multiLevelType w:val="hybridMultilevel"/>
    <w:tmpl w:val="BAD28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30B33"/>
    <w:multiLevelType w:val="hybridMultilevel"/>
    <w:tmpl w:val="3658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2546"/>
    <w:multiLevelType w:val="hybridMultilevel"/>
    <w:tmpl w:val="7198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E6206"/>
    <w:multiLevelType w:val="multilevel"/>
    <w:tmpl w:val="7E2C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C1E75"/>
    <w:multiLevelType w:val="hybridMultilevel"/>
    <w:tmpl w:val="54CE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5153"/>
    <w:multiLevelType w:val="hybridMultilevel"/>
    <w:tmpl w:val="24FC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52A3A"/>
    <w:multiLevelType w:val="multilevel"/>
    <w:tmpl w:val="4AD2DE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15C4A"/>
    <w:multiLevelType w:val="hybridMultilevel"/>
    <w:tmpl w:val="B3E8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E5E65"/>
    <w:multiLevelType w:val="hybridMultilevel"/>
    <w:tmpl w:val="C908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B4534"/>
    <w:multiLevelType w:val="hybridMultilevel"/>
    <w:tmpl w:val="2A9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40357">
    <w:abstractNumId w:val="3"/>
  </w:num>
  <w:num w:numId="2" w16cid:durableId="759108829">
    <w:abstractNumId w:val="4"/>
  </w:num>
  <w:num w:numId="3" w16cid:durableId="241377179">
    <w:abstractNumId w:val="7"/>
  </w:num>
  <w:num w:numId="4" w16cid:durableId="1897425135">
    <w:abstractNumId w:val="6"/>
  </w:num>
  <w:num w:numId="5" w16cid:durableId="1661931141">
    <w:abstractNumId w:val="1"/>
  </w:num>
  <w:num w:numId="6" w16cid:durableId="702174262">
    <w:abstractNumId w:val="8"/>
  </w:num>
  <w:num w:numId="7" w16cid:durableId="728917691">
    <w:abstractNumId w:val="5"/>
  </w:num>
  <w:num w:numId="8" w16cid:durableId="604381490">
    <w:abstractNumId w:val="0"/>
  </w:num>
  <w:num w:numId="9" w16cid:durableId="1735814189">
    <w:abstractNumId w:val="9"/>
  </w:num>
  <w:num w:numId="10" w16cid:durableId="714741091">
    <w:abstractNumId w:val="2"/>
  </w:num>
  <w:num w:numId="11" w16cid:durableId="1730615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33"/>
    <w:rsid w:val="0003495D"/>
    <w:rsid w:val="00051D57"/>
    <w:rsid w:val="00063B59"/>
    <w:rsid w:val="00075760"/>
    <w:rsid w:val="000A4668"/>
    <w:rsid w:val="000C16E3"/>
    <w:rsid w:val="000C612B"/>
    <w:rsid w:val="000D5F17"/>
    <w:rsid w:val="000E442C"/>
    <w:rsid w:val="000F0822"/>
    <w:rsid w:val="00101023"/>
    <w:rsid w:val="001075AB"/>
    <w:rsid w:val="00160F4D"/>
    <w:rsid w:val="00166B60"/>
    <w:rsid w:val="0016721C"/>
    <w:rsid w:val="0017106B"/>
    <w:rsid w:val="001A64E8"/>
    <w:rsid w:val="001B0A5A"/>
    <w:rsid w:val="001D7AF7"/>
    <w:rsid w:val="001E227A"/>
    <w:rsid w:val="001E237E"/>
    <w:rsid w:val="002A7FF7"/>
    <w:rsid w:val="002B0550"/>
    <w:rsid w:val="002C345A"/>
    <w:rsid w:val="002F366E"/>
    <w:rsid w:val="00320A45"/>
    <w:rsid w:val="00340707"/>
    <w:rsid w:val="00363051"/>
    <w:rsid w:val="003743B0"/>
    <w:rsid w:val="00394293"/>
    <w:rsid w:val="003C1180"/>
    <w:rsid w:val="003D3A6C"/>
    <w:rsid w:val="00424F61"/>
    <w:rsid w:val="00443C3B"/>
    <w:rsid w:val="0047341A"/>
    <w:rsid w:val="004B495E"/>
    <w:rsid w:val="004E508D"/>
    <w:rsid w:val="00507002"/>
    <w:rsid w:val="00521C62"/>
    <w:rsid w:val="00525381"/>
    <w:rsid w:val="00531AB0"/>
    <w:rsid w:val="00534A00"/>
    <w:rsid w:val="00576316"/>
    <w:rsid w:val="00580298"/>
    <w:rsid w:val="0058477F"/>
    <w:rsid w:val="005A02F5"/>
    <w:rsid w:val="005B6183"/>
    <w:rsid w:val="005B6CC0"/>
    <w:rsid w:val="005E148D"/>
    <w:rsid w:val="005E1607"/>
    <w:rsid w:val="005E4C69"/>
    <w:rsid w:val="005F10F1"/>
    <w:rsid w:val="006010D8"/>
    <w:rsid w:val="006010E7"/>
    <w:rsid w:val="006108DE"/>
    <w:rsid w:val="0062037F"/>
    <w:rsid w:val="006414E6"/>
    <w:rsid w:val="0068698D"/>
    <w:rsid w:val="006C0380"/>
    <w:rsid w:val="006D1117"/>
    <w:rsid w:val="006D2BAA"/>
    <w:rsid w:val="006E0DA0"/>
    <w:rsid w:val="006E33AC"/>
    <w:rsid w:val="006F1108"/>
    <w:rsid w:val="006F6352"/>
    <w:rsid w:val="00727482"/>
    <w:rsid w:val="00733FAD"/>
    <w:rsid w:val="00743148"/>
    <w:rsid w:val="00785DA4"/>
    <w:rsid w:val="007B116F"/>
    <w:rsid w:val="00887327"/>
    <w:rsid w:val="00890D60"/>
    <w:rsid w:val="008A6F07"/>
    <w:rsid w:val="008A7408"/>
    <w:rsid w:val="008B2A4E"/>
    <w:rsid w:val="008C0FF4"/>
    <w:rsid w:val="008C34C2"/>
    <w:rsid w:val="008D2FD1"/>
    <w:rsid w:val="008D4F0C"/>
    <w:rsid w:val="0091380E"/>
    <w:rsid w:val="00917C7B"/>
    <w:rsid w:val="00926351"/>
    <w:rsid w:val="00933AB2"/>
    <w:rsid w:val="009357A4"/>
    <w:rsid w:val="00937D17"/>
    <w:rsid w:val="009518A9"/>
    <w:rsid w:val="009835AB"/>
    <w:rsid w:val="00994895"/>
    <w:rsid w:val="009A62D7"/>
    <w:rsid w:val="009B21B1"/>
    <w:rsid w:val="009C43F4"/>
    <w:rsid w:val="009C45CC"/>
    <w:rsid w:val="009D188D"/>
    <w:rsid w:val="009E506A"/>
    <w:rsid w:val="009F721D"/>
    <w:rsid w:val="00A057C4"/>
    <w:rsid w:val="00A1748A"/>
    <w:rsid w:val="00A64877"/>
    <w:rsid w:val="00A657F2"/>
    <w:rsid w:val="00A92710"/>
    <w:rsid w:val="00AC00E7"/>
    <w:rsid w:val="00AC1219"/>
    <w:rsid w:val="00AE0630"/>
    <w:rsid w:val="00AE25FB"/>
    <w:rsid w:val="00AF7E49"/>
    <w:rsid w:val="00B06703"/>
    <w:rsid w:val="00B23A50"/>
    <w:rsid w:val="00B37192"/>
    <w:rsid w:val="00B47F33"/>
    <w:rsid w:val="00B52E81"/>
    <w:rsid w:val="00B71097"/>
    <w:rsid w:val="00B87D97"/>
    <w:rsid w:val="00BC28B2"/>
    <w:rsid w:val="00BD08A2"/>
    <w:rsid w:val="00BD6F4B"/>
    <w:rsid w:val="00BF24E3"/>
    <w:rsid w:val="00BF7D96"/>
    <w:rsid w:val="00C112CA"/>
    <w:rsid w:val="00C1455F"/>
    <w:rsid w:val="00C4023C"/>
    <w:rsid w:val="00C864B6"/>
    <w:rsid w:val="00CB1EC5"/>
    <w:rsid w:val="00CB4796"/>
    <w:rsid w:val="00CC0DF6"/>
    <w:rsid w:val="00CE3EF4"/>
    <w:rsid w:val="00CF11F8"/>
    <w:rsid w:val="00CF6330"/>
    <w:rsid w:val="00CF7214"/>
    <w:rsid w:val="00D17FED"/>
    <w:rsid w:val="00D27B80"/>
    <w:rsid w:val="00D45C6B"/>
    <w:rsid w:val="00D768A6"/>
    <w:rsid w:val="00D83DCD"/>
    <w:rsid w:val="00D92729"/>
    <w:rsid w:val="00DB0BD4"/>
    <w:rsid w:val="00DB6351"/>
    <w:rsid w:val="00E07750"/>
    <w:rsid w:val="00E121C7"/>
    <w:rsid w:val="00E216C2"/>
    <w:rsid w:val="00E41F0D"/>
    <w:rsid w:val="00E67E85"/>
    <w:rsid w:val="00E96EDB"/>
    <w:rsid w:val="00EA259F"/>
    <w:rsid w:val="00EB76A4"/>
    <w:rsid w:val="00ED03D7"/>
    <w:rsid w:val="00EE53CE"/>
    <w:rsid w:val="00F01041"/>
    <w:rsid w:val="00F01613"/>
    <w:rsid w:val="00F15C51"/>
    <w:rsid w:val="00F1774D"/>
    <w:rsid w:val="00F42C85"/>
    <w:rsid w:val="00F4455B"/>
    <w:rsid w:val="00F93003"/>
    <w:rsid w:val="00FC5C76"/>
    <w:rsid w:val="00FD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A498"/>
  <w15:chartTrackingRefBased/>
  <w15:docId w15:val="{69B86697-B798-48F0-B6F3-B344695F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F33"/>
    <w:rPr>
      <w:b/>
      <w:bCs/>
      <w:smallCaps/>
      <w:color w:val="0F4761" w:themeColor="accent1" w:themeShade="BF"/>
      <w:spacing w:val="5"/>
    </w:rPr>
  </w:style>
  <w:style w:type="paragraph" w:customStyle="1" w:styleId="df3vjf">
    <w:name w:val="df3vjf"/>
    <w:basedOn w:val="Normal"/>
    <w:rsid w:val="00B4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B47F33"/>
  </w:style>
  <w:style w:type="character" w:styleId="Strong">
    <w:name w:val="Strong"/>
    <w:basedOn w:val="DefaultParagraphFont"/>
    <w:uiPriority w:val="22"/>
    <w:qFormat/>
    <w:rsid w:val="00B47F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3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C2"/>
  </w:style>
  <w:style w:type="paragraph" w:styleId="Footer">
    <w:name w:val="footer"/>
    <w:basedOn w:val="Normal"/>
    <w:link w:val="FooterChar"/>
    <w:uiPriority w:val="99"/>
    <w:unhideWhenUsed/>
    <w:rsid w:val="008C3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C2"/>
  </w:style>
  <w:style w:type="character" w:styleId="Hyperlink">
    <w:name w:val="Hyperlink"/>
    <w:basedOn w:val="DefaultParagraphFont"/>
    <w:uiPriority w:val="99"/>
    <w:unhideWhenUsed/>
    <w:rsid w:val="00727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epublishing.com/OR/Newbe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depublishing.com/OR/Newbe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lanning@newbergoregon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regonlegislature.gov/bills_laws/ors/ors1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legislature.gov/bills_laws/ors/ors24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632</Words>
  <Characters>3654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 Bates</dc:creator>
  <cp:keywords/>
  <dc:description/>
  <cp:lastModifiedBy>Scot Siegel</cp:lastModifiedBy>
  <cp:revision>59</cp:revision>
  <dcterms:created xsi:type="dcterms:W3CDTF">2026-03-23T19:47:00Z</dcterms:created>
  <dcterms:modified xsi:type="dcterms:W3CDTF">2026-03-23T23:04:00Z</dcterms:modified>
</cp:coreProperties>
</file>